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91EBC" w14:textId="77777777" w:rsidR="003C22BA" w:rsidRDefault="003C22BA" w:rsidP="003C22BA">
      <w:pPr>
        <w:jc w:val="center"/>
        <w:rPr>
          <w:rFonts w:ascii="Arial" w:eastAsia="Arial" w:hAnsi="Arial" w:cs="Arial"/>
          <w:b/>
          <w:bCs/>
        </w:rPr>
      </w:pPr>
      <w:r w:rsidRPr="20E80983">
        <w:rPr>
          <w:rFonts w:ascii="Arial" w:eastAsia="Arial" w:hAnsi="Arial" w:cs="Arial"/>
          <w:b/>
          <w:bCs/>
        </w:rPr>
        <w:t>WEBINAR SDS- VERSANIA</w:t>
      </w:r>
    </w:p>
    <w:p w14:paraId="0A3CD031" w14:textId="77777777" w:rsidR="003C22BA" w:rsidRDefault="003C22BA" w:rsidP="003C22BA">
      <w:pPr>
        <w:jc w:val="center"/>
        <w:rPr>
          <w:rFonts w:ascii="Arial" w:eastAsia="Arial" w:hAnsi="Arial" w:cs="Arial"/>
          <w:b/>
          <w:bCs/>
        </w:rPr>
      </w:pPr>
      <w:r w:rsidRPr="20E80983">
        <w:rPr>
          <w:rFonts w:ascii="Arial" w:eastAsia="Arial" w:hAnsi="Arial" w:cs="Arial"/>
          <w:b/>
          <w:bCs/>
        </w:rPr>
        <w:t>Tema: Trastornos de la Conducta Alimentaria</w:t>
      </w:r>
    </w:p>
    <w:p w14:paraId="5A0B9CA0" w14:textId="77777777" w:rsidR="003C22BA" w:rsidRDefault="003C22BA" w:rsidP="003C22BA">
      <w:pPr>
        <w:jc w:val="center"/>
        <w:rPr>
          <w:rFonts w:ascii="Arial" w:eastAsia="Arial" w:hAnsi="Arial" w:cs="Arial"/>
          <w:b/>
          <w:bCs/>
        </w:rPr>
      </w:pPr>
      <w:proofErr w:type="spellStart"/>
      <w:r w:rsidRPr="20E80983">
        <w:rPr>
          <w:rFonts w:ascii="Arial" w:eastAsia="Arial" w:hAnsi="Arial" w:cs="Arial"/>
          <w:b/>
          <w:bCs/>
        </w:rPr>
        <w:t>Bullets</w:t>
      </w:r>
      <w:proofErr w:type="spellEnd"/>
    </w:p>
    <w:p w14:paraId="0A848224" w14:textId="77777777" w:rsidR="003C22BA" w:rsidRDefault="003C22BA" w:rsidP="003C22BA">
      <w:pPr>
        <w:rPr>
          <w:rFonts w:ascii="Arial" w:eastAsia="Arial" w:hAnsi="Arial" w:cs="Arial"/>
          <w:b/>
          <w:bCs/>
        </w:rPr>
      </w:pPr>
      <w:r w:rsidRPr="20E80983">
        <w:rPr>
          <w:rFonts w:ascii="Arial" w:eastAsia="Arial" w:hAnsi="Arial" w:cs="Arial"/>
          <w:b/>
          <w:bCs/>
        </w:rPr>
        <w:t xml:space="preserve">Datos de contexto: </w:t>
      </w:r>
    </w:p>
    <w:p w14:paraId="188154A8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  <w:color w:val="000000" w:themeColor="text1"/>
        </w:rPr>
        <w:t>De acuerdo con datos tomados del Observatorio de Salud de Bogotá-</w:t>
      </w:r>
      <w:proofErr w:type="spellStart"/>
      <w:r w:rsidRPr="20E80983">
        <w:rPr>
          <w:rFonts w:ascii="Arial" w:eastAsia="Arial" w:hAnsi="Arial" w:cs="Arial"/>
          <w:color w:val="000000" w:themeColor="text1"/>
        </w:rPr>
        <w:t>SaluData</w:t>
      </w:r>
      <w:proofErr w:type="spellEnd"/>
      <w:r w:rsidRPr="20E80983">
        <w:rPr>
          <w:rFonts w:ascii="Arial" w:eastAsia="Arial" w:hAnsi="Arial" w:cs="Arial"/>
          <w:color w:val="000000" w:themeColor="text1"/>
        </w:rPr>
        <w:t xml:space="preserve"> de la Secretaría Distrital de Salud, en el año 2024, con corte 30/08/2024, se realizaron 1.533 atenciones bajo la categoría trastornos de la conducta alimentaria y de la ingesta de alimentos siendo atendidas en total 513 personas, de las cuales el 1,1%, es decir, 1.355 fueron mujeres y 0.1% hombres.</w:t>
      </w:r>
    </w:p>
    <w:p w14:paraId="34995FA3" w14:textId="77777777" w:rsidR="003C22BA" w:rsidRDefault="003C22BA" w:rsidP="003C22BA">
      <w:pPr>
        <w:pStyle w:val="Prrafodelista"/>
        <w:shd w:val="clear" w:color="auto" w:fill="FFFFFF" w:themeFill="background1"/>
        <w:spacing w:after="0"/>
        <w:jc w:val="both"/>
        <w:rPr>
          <w:rFonts w:ascii="Arial" w:eastAsia="Arial" w:hAnsi="Arial" w:cs="Arial"/>
          <w:color w:val="000000" w:themeColor="text1"/>
        </w:rPr>
      </w:pPr>
    </w:p>
    <w:p w14:paraId="7AF6C94D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  <w:color w:val="000000" w:themeColor="text1"/>
        </w:rPr>
        <w:t xml:space="preserve">Datos de la misma fuente muestra el resultado de número de atenciones por ciclo de vida fue: se realizaron 61 atenciones a 37 </w:t>
      </w:r>
      <w:proofErr w:type="gramStart"/>
      <w:r w:rsidRPr="20E80983">
        <w:rPr>
          <w:rFonts w:ascii="Arial" w:eastAsia="Arial" w:hAnsi="Arial" w:cs="Arial"/>
          <w:color w:val="000000" w:themeColor="text1"/>
        </w:rPr>
        <w:t>niños y niñas</w:t>
      </w:r>
      <w:proofErr w:type="gramEnd"/>
      <w:r w:rsidRPr="20E80983">
        <w:rPr>
          <w:rFonts w:ascii="Arial" w:eastAsia="Arial" w:hAnsi="Arial" w:cs="Arial"/>
          <w:color w:val="000000" w:themeColor="text1"/>
        </w:rPr>
        <w:t xml:space="preserve"> de 6 a 11 años, 552 atenciones a 144 adolescentes de 12 a 17 años, 639 atenciones a jóvenes de 18 a 28 años y 198 atenciones a 99 personas adultas de 29 a 59 </w:t>
      </w:r>
      <w:proofErr w:type="gramStart"/>
      <w:r w:rsidRPr="20E80983">
        <w:rPr>
          <w:rFonts w:ascii="Arial" w:eastAsia="Arial" w:hAnsi="Arial" w:cs="Arial"/>
          <w:color w:val="000000" w:themeColor="text1"/>
        </w:rPr>
        <w:t>años de edad</w:t>
      </w:r>
      <w:proofErr w:type="gramEnd"/>
      <w:r w:rsidRPr="20E80983">
        <w:rPr>
          <w:rFonts w:ascii="Arial" w:eastAsia="Arial" w:hAnsi="Arial" w:cs="Arial"/>
          <w:color w:val="000000" w:themeColor="text1"/>
        </w:rPr>
        <w:t>. De lo anterior se evidencia que el mayor número de casos atendidos estuvo dirigido a jóvenes entre los 18 a 28 años, seguido de los adolescentes edades entre 12 y 17.</w:t>
      </w:r>
    </w:p>
    <w:p w14:paraId="68958E0D" w14:textId="77777777" w:rsidR="003C22BA" w:rsidRDefault="003C22BA" w:rsidP="003C22BA">
      <w:pPr>
        <w:pStyle w:val="Prrafodelista"/>
        <w:shd w:val="clear" w:color="auto" w:fill="FFFFFF" w:themeFill="background1"/>
        <w:spacing w:after="0"/>
        <w:jc w:val="both"/>
        <w:rPr>
          <w:rFonts w:ascii="Arial" w:eastAsia="Arial" w:hAnsi="Arial" w:cs="Arial"/>
          <w:color w:val="000000" w:themeColor="text1"/>
        </w:rPr>
      </w:pPr>
    </w:p>
    <w:p w14:paraId="4C7764F5" w14:textId="77777777" w:rsidR="003C22BA" w:rsidRDefault="003C22BA" w:rsidP="003C22BA">
      <w:pPr>
        <w:shd w:val="clear" w:color="auto" w:fill="FFFFFF" w:themeFill="background1"/>
        <w:spacing w:after="0"/>
        <w:jc w:val="both"/>
        <w:rPr>
          <w:rFonts w:ascii="Arial" w:eastAsia="Arial" w:hAnsi="Arial" w:cs="Arial"/>
          <w:b/>
          <w:bCs/>
          <w:color w:val="000000" w:themeColor="text1"/>
        </w:rPr>
      </w:pPr>
      <w:proofErr w:type="spellStart"/>
      <w:r w:rsidRPr="20E80983">
        <w:rPr>
          <w:rFonts w:ascii="Arial" w:eastAsia="Arial" w:hAnsi="Arial" w:cs="Arial"/>
          <w:b/>
          <w:bCs/>
          <w:color w:val="000000" w:themeColor="text1"/>
        </w:rPr>
        <w:t>Bullets</w:t>
      </w:r>
      <w:proofErr w:type="spellEnd"/>
      <w:r w:rsidRPr="20E80983">
        <w:rPr>
          <w:rFonts w:ascii="Arial" w:eastAsia="Arial" w:hAnsi="Arial" w:cs="Arial"/>
          <w:b/>
          <w:bCs/>
          <w:color w:val="000000" w:themeColor="text1"/>
        </w:rPr>
        <w:t xml:space="preserve">: </w:t>
      </w:r>
    </w:p>
    <w:p w14:paraId="1B68FBD9" w14:textId="77777777" w:rsidR="003C22BA" w:rsidRDefault="003C22BA" w:rsidP="003C22BA">
      <w:pPr>
        <w:pStyle w:val="Prrafodelista"/>
        <w:shd w:val="clear" w:color="auto" w:fill="FFFFFF" w:themeFill="background1"/>
        <w:spacing w:after="0"/>
        <w:ind w:hanging="360"/>
        <w:jc w:val="both"/>
        <w:rPr>
          <w:rFonts w:ascii="Arial" w:eastAsia="Arial" w:hAnsi="Arial" w:cs="Arial"/>
        </w:rPr>
      </w:pPr>
    </w:p>
    <w:p w14:paraId="25927C71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</w:rPr>
      </w:pPr>
      <w:r w:rsidRPr="4A5EAB89">
        <w:rPr>
          <w:rFonts w:ascii="Arial" w:eastAsia="Arial" w:hAnsi="Arial" w:cs="Arial"/>
          <w:color w:val="000000" w:themeColor="text1"/>
        </w:rPr>
        <w:t xml:space="preserve">El modelo de salud MAS Bienestar, centrado en la Atención Primaria Social (APS), utiliza un abordaje territorial, participativo, diferencial y corresponsable. Desde esta perspectiva, es esencial fortalecer las acciones del sector salud. </w:t>
      </w:r>
      <w:r w:rsidRPr="4A5EAB89">
        <w:rPr>
          <w:rFonts w:ascii="Arial" w:eastAsia="Arial" w:hAnsi="Arial" w:cs="Arial"/>
        </w:rPr>
        <w:t>Este modelo promueve el bienestar integral y la salud mental como determinantes del desarrollo humano, fortaleciendo las acciones de prevención, detección temprana y atención oportuna de los TCA en articulación con los diferentes entornos y actores sociales.</w:t>
      </w:r>
    </w:p>
    <w:p w14:paraId="7FBCAEE6" w14:textId="77777777" w:rsidR="003C22BA" w:rsidRDefault="003C22BA" w:rsidP="003C22BA">
      <w:pPr>
        <w:pStyle w:val="Prrafodelista"/>
        <w:shd w:val="clear" w:color="auto" w:fill="FFFFFF" w:themeFill="background1"/>
        <w:spacing w:after="0"/>
        <w:ind w:hanging="360"/>
        <w:jc w:val="both"/>
        <w:rPr>
          <w:rFonts w:ascii="Arial" w:eastAsia="Arial" w:hAnsi="Arial" w:cs="Arial"/>
        </w:rPr>
      </w:pPr>
    </w:p>
    <w:p w14:paraId="048EA212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t>Bogotá cuenta con el Acuerdo 221 de 2006, mediante el cual el Concejo Distrital declaró el 1° de abril como el Día Distrital de la Prevención de la Bulimia y la Anorexia, lo que reafirma el compromiso de la ciudad con la visibilización y prevención de los TCA.</w:t>
      </w:r>
    </w:p>
    <w:p w14:paraId="6EEC5165" w14:textId="77777777" w:rsidR="003C22BA" w:rsidRDefault="003C22BA" w:rsidP="003C22BA">
      <w:pPr>
        <w:pStyle w:val="Prrafodelista"/>
        <w:shd w:val="clear" w:color="auto" w:fill="FFFFFF" w:themeFill="background1"/>
        <w:spacing w:after="0"/>
        <w:ind w:hanging="360"/>
        <w:jc w:val="both"/>
        <w:rPr>
          <w:rFonts w:ascii="Arial" w:eastAsia="Arial" w:hAnsi="Arial" w:cs="Arial"/>
        </w:rPr>
      </w:pPr>
    </w:p>
    <w:p w14:paraId="7AFB8D1E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t>Aunque no existe una ruta específica para el abordaje de los TCA, la Ruta de Salud Mental garantiza la atención integral e interdisciplinaria de las personas afectadas, en articulación con los servicios de nutrición, salud pública y promoción de la salud.</w:t>
      </w:r>
    </w:p>
    <w:p w14:paraId="1F61BACD" w14:textId="77777777" w:rsidR="003C22BA" w:rsidRDefault="003C22BA" w:rsidP="003C22BA">
      <w:pPr>
        <w:pStyle w:val="Prrafodelista"/>
        <w:shd w:val="clear" w:color="auto" w:fill="FFFFFF" w:themeFill="background1"/>
        <w:spacing w:after="0"/>
        <w:ind w:hanging="360"/>
        <w:jc w:val="both"/>
        <w:rPr>
          <w:rFonts w:ascii="Arial" w:eastAsia="Arial" w:hAnsi="Arial" w:cs="Arial"/>
        </w:rPr>
      </w:pPr>
    </w:p>
    <w:p w14:paraId="03480A8A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  <w:color w:val="000000" w:themeColor="text1"/>
        </w:rPr>
        <w:t>La ruta de salud mental se enfoca en la identificación temprana del riesgo mediante la identificación de señales de alerta o conductas de riesgo, la educación y las actividades de promoción para la prevención.</w:t>
      </w:r>
    </w:p>
    <w:p w14:paraId="7DC90F38" w14:textId="77777777" w:rsidR="003C22BA" w:rsidRDefault="003C22BA" w:rsidP="003C22BA">
      <w:pPr>
        <w:pStyle w:val="Prrafodelista"/>
        <w:shd w:val="clear" w:color="auto" w:fill="FFFFFF" w:themeFill="background1"/>
        <w:spacing w:after="0"/>
        <w:jc w:val="both"/>
        <w:rPr>
          <w:rFonts w:ascii="Arial" w:eastAsia="Arial" w:hAnsi="Arial" w:cs="Arial"/>
          <w:color w:val="000000" w:themeColor="text1"/>
        </w:rPr>
      </w:pPr>
    </w:p>
    <w:p w14:paraId="2559D54D" w14:textId="77777777" w:rsidR="003C22BA" w:rsidRDefault="003C22BA" w:rsidP="003C22BA">
      <w:pPr>
        <w:pStyle w:val="Prrafodelista"/>
        <w:numPr>
          <w:ilvl w:val="0"/>
          <w:numId w:val="20"/>
        </w:numPr>
        <w:spacing w:after="0" w:line="257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lastRenderedPageBreak/>
        <w:t>Las valoraciones en salud mental, realizadas en el marco de la ruta de promoción y mantenimiento de la salud, permiten identificar riesgos o conductas que podrían derivar en TCA, y garantizar su derivación oportuna a los servicios especializados.</w:t>
      </w:r>
    </w:p>
    <w:p w14:paraId="0258C26B" w14:textId="77777777" w:rsidR="003C22BA" w:rsidRDefault="003C22BA" w:rsidP="003C22BA">
      <w:pPr>
        <w:pStyle w:val="Prrafodelista"/>
        <w:spacing w:after="0" w:line="257" w:lineRule="auto"/>
        <w:jc w:val="both"/>
        <w:rPr>
          <w:rFonts w:ascii="Arial" w:eastAsia="Arial" w:hAnsi="Arial" w:cs="Arial"/>
          <w:color w:val="000000" w:themeColor="text1"/>
        </w:rPr>
      </w:pPr>
    </w:p>
    <w:p w14:paraId="22273560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t xml:space="preserve">En esta ruta se ofrece atención interdisciplinaria a través de valoraciones por psiquiatría, psicología, medicina, enfermería, pediatría, trabajo social y terapia ocupacional, complementadas con psicoterapia individual y grupal, y acciones de fortalecimiento de redes de apoyo. </w:t>
      </w:r>
    </w:p>
    <w:p w14:paraId="553767B0" w14:textId="77777777" w:rsidR="003C22BA" w:rsidRDefault="003C22BA" w:rsidP="003C22BA">
      <w:pPr>
        <w:pStyle w:val="Prrafodelista"/>
        <w:shd w:val="clear" w:color="auto" w:fill="FFFFFF" w:themeFill="background1"/>
        <w:spacing w:after="0"/>
        <w:jc w:val="both"/>
        <w:rPr>
          <w:rFonts w:ascii="Arial" w:eastAsia="Arial" w:hAnsi="Arial" w:cs="Arial"/>
          <w:color w:val="000000" w:themeColor="text1"/>
        </w:rPr>
      </w:pPr>
    </w:p>
    <w:p w14:paraId="4991A42D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  <w:color w:val="000000" w:themeColor="text1"/>
        </w:rPr>
        <w:t>La Línea 106: El Poder de ser escuchado es un espacio de apoyo, escucha activa, orientación psicológica y psicosocial. brindarte una orientación ética y responsable sobre las situaciones que hacen parte de tu cotidianidad. Escoge una forma de contacto y conéctate con nosotros ... todos los temas que quieras contarnos o compartir son importantes.</w:t>
      </w:r>
    </w:p>
    <w:p w14:paraId="735438FF" w14:textId="77777777" w:rsidR="003C22BA" w:rsidRDefault="003C22BA" w:rsidP="003C22BA">
      <w:pPr>
        <w:pStyle w:val="Prrafodelista"/>
        <w:shd w:val="clear" w:color="auto" w:fill="FFFFFF" w:themeFill="background1"/>
        <w:spacing w:after="0"/>
        <w:jc w:val="both"/>
        <w:rPr>
          <w:rFonts w:ascii="Arial" w:eastAsia="Arial" w:hAnsi="Arial" w:cs="Arial"/>
          <w:color w:val="000000" w:themeColor="text1"/>
        </w:rPr>
      </w:pPr>
    </w:p>
    <w:p w14:paraId="011B8900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t xml:space="preserve">Desde las acciones de salud pública se trabaja por transformar el enfoque de la cultura de la dieta y los discursos </w:t>
      </w:r>
      <w:proofErr w:type="spellStart"/>
      <w:r w:rsidRPr="20E80983">
        <w:rPr>
          <w:rFonts w:ascii="Arial" w:eastAsia="Arial" w:hAnsi="Arial" w:cs="Arial"/>
        </w:rPr>
        <w:t>pesocentristas</w:t>
      </w:r>
      <w:proofErr w:type="spellEnd"/>
      <w:r w:rsidRPr="20E80983">
        <w:rPr>
          <w:rFonts w:ascii="Arial" w:eastAsia="Arial" w:hAnsi="Arial" w:cs="Arial"/>
        </w:rPr>
        <w:t xml:space="preserve"> hacia la promoción del reconocimiento y respeto por la diversidad corporal, la autoaceptación y el amor propio, como componentes fundamentales del bienestar psicológico.</w:t>
      </w:r>
    </w:p>
    <w:p w14:paraId="186369F1" w14:textId="77777777" w:rsidR="003C22BA" w:rsidRDefault="003C22BA" w:rsidP="003C22BA">
      <w:pPr>
        <w:pStyle w:val="Prrafodelista"/>
        <w:shd w:val="clear" w:color="auto" w:fill="FFFFFF" w:themeFill="background1"/>
        <w:spacing w:after="0"/>
        <w:ind w:left="360"/>
        <w:jc w:val="both"/>
        <w:rPr>
          <w:rFonts w:ascii="Arial" w:eastAsia="Arial" w:hAnsi="Arial" w:cs="Arial"/>
        </w:rPr>
      </w:pPr>
    </w:p>
    <w:p w14:paraId="38E40B15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t>Se bus</w:t>
      </w:r>
      <w:r w:rsidRPr="008F64A8">
        <w:rPr>
          <w:rFonts w:ascii="Arial" w:eastAsia="Arial" w:hAnsi="Arial" w:cs="Arial"/>
        </w:rPr>
        <w:t xml:space="preserve">ca una </w:t>
      </w:r>
      <w:r w:rsidRPr="20E80983">
        <w:rPr>
          <w:rFonts w:ascii="Arial" w:eastAsia="Arial" w:hAnsi="Arial" w:cs="Arial"/>
        </w:rPr>
        <w:t>lectura integral de la enfermedad, que permita comprender los factores emocionales, sociales y culturales asociados, evitando interpretaciones reduccionistas centradas exclusivamente en la alimentación o el peso corporal.</w:t>
      </w:r>
    </w:p>
    <w:p w14:paraId="1F8A0361" w14:textId="77777777" w:rsidR="003C22BA" w:rsidRPr="008F64A8" w:rsidRDefault="003C22BA" w:rsidP="003C22BA">
      <w:pPr>
        <w:shd w:val="clear" w:color="auto" w:fill="FFFFFF" w:themeFill="background1"/>
        <w:spacing w:after="0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  <w:color w:val="000000" w:themeColor="text1"/>
        </w:rPr>
        <w:t xml:space="preserve"> </w:t>
      </w:r>
    </w:p>
    <w:p w14:paraId="0CB05AD6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  <w:color w:val="000000" w:themeColor="text1"/>
        </w:rPr>
        <w:t>La inclusión del tema de los TCA en los entornos educativo, laboral, comunitario (RBC) e institucional busca alcanzar a la comunidad, familia y a la población joven (niñas, niños, adolescentes y jóvenes). Estas acciones promueven el bienestar emocional, la visibilización de los TCA en la salud mental y la calidad de vida de las personas, la promoción de factores protectores, el desarrollo de estrategias de afrontamiento y fortalecimiento de vínculos familiares, sociales e institucionales.</w:t>
      </w:r>
    </w:p>
    <w:p w14:paraId="649978DD" w14:textId="77777777" w:rsidR="003C22BA" w:rsidRDefault="003C22BA" w:rsidP="003C22BA">
      <w:pPr>
        <w:pStyle w:val="Prrafodelista"/>
        <w:shd w:val="clear" w:color="auto" w:fill="FFFFFF" w:themeFill="background1"/>
        <w:spacing w:after="0"/>
        <w:ind w:hanging="360"/>
        <w:jc w:val="both"/>
        <w:rPr>
          <w:rFonts w:ascii="Arial" w:eastAsia="Arial" w:hAnsi="Arial" w:cs="Arial"/>
          <w:color w:val="000000" w:themeColor="text1"/>
        </w:rPr>
      </w:pPr>
    </w:p>
    <w:p w14:paraId="6EBEAE2B" w14:textId="77777777" w:rsidR="003C22BA" w:rsidRDefault="003C22BA" w:rsidP="003C22BA">
      <w:pPr>
        <w:pStyle w:val="Prrafodelista"/>
        <w:numPr>
          <w:ilvl w:val="0"/>
          <w:numId w:val="20"/>
        </w:numPr>
        <w:spacing w:before="240" w:after="240" w:line="279" w:lineRule="auto"/>
        <w:jc w:val="both"/>
        <w:rPr>
          <w:rFonts w:ascii="Arial" w:eastAsia="Arial" w:hAnsi="Arial" w:cs="Arial"/>
        </w:rPr>
      </w:pPr>
      <w:r w:rsidRPr="008F64A8">
        <w:rPr>
          <w:rFonts w:ascii="Arial" w:eastAsia="Arial" w:hAnsi="Arial" w:cs="Arial"/>
        </w:rPr>
        <w:t xml:space="preserve">En los entornos educativos y comunitarios, se desarrollan estrategias pedagógicas </w:t>
      </w:r>
      <w:r w:rsidRPr="20E80983">
        <w:rPr>
          <w:rFonts w:ascii="Arial" w:eastAsia="Arial" w:hAnsi="Arial" w:cs="Arial"/>
        </w:rPr>
        <w:t xml:space="preserve">que promuevan una alimentación saludable, consciente y sostenible, basada en el disfrute, la autonomía y las decisiones informadas, evitando los mensajes restrictivos o punitivos que refuerzan la culpa o el miedo hacia los alimentos. </w:t>
      </w:r>
    </w:p>
    <w:p w14:paraId="242C9970" w14:textId="77777777" w:rsidR="003C22BA" w:rsidRDefault="003C22BA" w:rsidP="003C22BA">
      <w:pPr>
        <w:pStyle w:val="Prrafodelista"/>
        <w:spacing w:before="240" w:after="240"/>
        <w:jc w:val="both"/>
        <w:rPr>
          <w:rFonts w:ascii="Arial" w:eastAsia="Arial" w:hAnsi="Arial" w:cs="Arial"/>
        </w:rPr>
      </w:pPr>
    </w:p>
    <w:p w14:paraId="5E07343A" w14:textId="77777777" w:rsidR="003C22BA" w:rsidRDefault="003C22BA" w:rsidP="003C22BA">
      <w:pPr>
        <w:pStyle w:val="Prrafodelista"/>
        <w:numPr>
          <w:ilvl w:val="0"/>
          <w:numId w:val="20"/>
        </w:numPr>
        <w:spacing w:before="240" w:after="240" w:line="279" w:lineRule="auto"/>
        <w:jc w:val="both"/>
        <w:rPr>
          <w:rFonts w:ascii="Arial" w:eastAsia="Arial" w:hAnsi="Arial" w:cs="Arial"/>
        </w:rPr>
      </w:pPr>
      <w:r w:rsidRPr="20E80983">
        <w:rPr>
          <w:rFonts w:ascii="Arial" w:eastAsia="Arial" w:hAnsi="Arial" w:cs="Arial"/>
        </w:rPr>
        <w:t>Precisamente, la SDS cuenta con un Plan Distrital de Educación Alimentaria y Nutricional que inició su implementación en el 2024 y se extiende hasta el 2031. Este plan incluye acciones de educación alimentaria y nutricional que se centran en motivar la toma decisiones informadas, conscientes y autónomas</w:t>
      </w:r>
      <w:r w:rsidRPr="008F64A8">
        <w:rPr>
          <w:rFonts w:ascii="Arial" w:eastAsia="Arial" w:hAnsi="Arial" w:cs="Arial"/>
        </w:rPr>
        <w:t xml:space="preserve">, que favorezcan una </w:t>
      </w:r>
      <w:r w:rsidRPr="20E80983">
        <w:rPr>
          <w:rFonts w:ascii="Arial" w:eastAsia="Arial" w:hAnsi="Arial" w:cs="Arial"/>
        </w:rPr>
        <w:t xml:space="preserve">relación </w:t>
      </w:r>
      <w:r w:rsidRPr="20E80983">
        <w:rPr>
          <w:rFonts w:ascii="Arial" w:eastAsia="Arial" w:hAnsi="Arial" w:cs="Arial"/>
        </w:rPr>
        <w:lastRenderedPageBreak/>
        <w:t>equilibrada y placentera con los alimentos, alejándose de enfoques impositivos o restrictivos.</w:t>
      </w:r>
    </w:p>
    <w:p w14:paraId="556B8D67" w14:textId="77777777" w:rsidR="003C22BA" w:rsidRDefault="003C22BA" w:rsidP="003C22BA">
      <w:pPr>
        <w:pStyle w:val="Prrafodelista"/>
        <w:spacing w:before="240" w:after="240"/>
        <w:jc w:val="both"/>
        <w:rPr>
          <w:rFonts w:ascii="Arial" w:eastAsia="Arial" w:hAnsi="Arial" w:cs="Arial"/>
        </w:rPr>
      </w:pPr>
    </w:p>
    <w:p w14:paraId="1A1C9DAF" w14:textId="77777777" w:rsidR="003C22BA" w:rsidRDefault="003C22BA" w:rsidP="003C22BA">
      <w:pPr>
        <w:pStyle w:val="Prrafodelista"/>
        <w:numPr>
          <w:ilvl w:val="0"/>
          <w:numId w:val="20"/>
        </w:numPr>
        <w:spacing w:before="240" w:after="240" w:line="279" w:lineRule="auto"/>
        <w:jc w:val="both"/>
        <w:rPr>
          <w:rFonts w:ascii="Arial" w:eastAsia="Arial" w:hAnsi="Arial" w:cs="Arial"/>
        </w:rPr>
      </w:pPr>
      <w:r w:rsidRPr="008F64A8">
        <w:rPr>
          <w:rFonts w:ascii="Arial" w:eastAsia="Arial" w:hAnsi="Arial" w:cs="Arial"/>
        </w:rPr>
        <w:t xml:space="preserve">Se impulsa la formación del talento humano en salud en </w:t>
      </w:r>
      <w:r w:rsidRPr="20E80983">
        <w:rPr>
          <w:rFonts w:ascii="Arial" w:eastAsia="Arial" w:hAnsi="Arial" w:cs="Arial"/>
        </w:rPr>
        <w:t>enfoques no estigmatizantes, para garantizar que los servicios de salud mental y nutrición sean espacios seguros, libres de discriminación y con perspectiva de derechos.</w:t>
      </w:r>
    </w:p>
    <w:p w14:paraId="56DA0050" w14:textId="77777777" w:rsidR="003C22BA" w:rsidRDefault="003C22BA" w:rsidP="003C22BA">
      <w:pPr>
        <w:pStyle w:val="Prrafodelista"/>
        <w:spacing w:before="240" w:after="240"/>
        <w:jc w:val="both"/>
        <w:rPr>
          <w:rFonts w:ascii="Arial" w:eastAsia="Arial" w:hAnsi="Arial" w:cs="Arial"/>
        </w:rPr>
      </w:pPr>
    </w:p>
    <w:p w14:paraId="044AF0AE" w14:textId="77777777" w:rsidR="003C22BA" w:rsidRDefault="003C22BA" w:rsidP="003C22BA">
      <w:pPr>
        <w:pStyle w:val="Prrafodelista"/>
        <w:numPr>
          <w:ilvl w:val="0"/>
          <w:numId w:val="20"/>
        </w:numPr>
        <w:shd w:val="clear" w:color="auto" w:fill="FFFFFF" w:themeFill="background1"/>
        <w:spacing w:after="0" w:line="279" w:lineRule="auto"/>
        <w:jc w:val="both"/>
        <w:rPr>
          <w:rFonts w:ascii="Arial" w:eastAsia="Arial" w:hAnsi="Arial" w:cs="Arial"/>
          <w:color w:val="000000" w:themeColor="text1"/>
        </w:rPr>
      </w:pPr>
      <w:r w:rsidRPr="20E80983">
        <w:rPr>
          <w:rFonts w:ascii="Arial" w:eastAsia="Arial" w:hAnsi="Arial" w:cs="Arial"/>
        </w:rPr>
        <w:t>Desde la SDS s</w:t>
      </w:r>
      <w:r w:rsidRPr="008F64A8">
        <w:rPr>
          <w:rFonts w:ascii="Arial" w:eastAsia="Arial" w:hAnsi="Arial" w:cs="Arial"/>
        </w:rPr>
        <w:t xml:space="preserve">e avanza en la construcción de una </w:t>
      </w:r>
      <w:r w:rsidRPr="20E80983">
        <w:rPr>
          <w:rFonts w:ascii="Arial" w:eastAsia="Arial" w:hAnsi="Arial" w:cs="Arial"/>
        </w:rPr>
        <w:t>ciudad que reconoce la diversidad corporal y emocional</w:t>
      </w:r>
      <w:r w:rsidRPr="008F64A8">
        <w:rPr>
          <w:rFonts w:ascii="Arial" w:eastAsia="Arial" w:hAnsi="Arial" w:cs="Arial"/>
        </w:rPr>
        <w:t xml:space="preserve">, y que promueve la salud mental, la alimentación saludable y el bienestar desde un enfoque </w:t>
      </w:r>
      <w:r w:rsidRPr="20E80983">
        <w:rPr>
          <w:rFonts w:ascii="Arial" w:eastAsia="Arial" w:hAnsi="Arial" w:cs="Arial"/>
        </w:rPr>
        <w:t>humanizado, inclusivo y libre de estigmas.</w:t>
      </w:r>
    </w:p>
    <w:p w14:paraId="303B7B88" w14:textId="77777777" w:rsidR="00DE7AB3" w:rsidRPr="0001417B" w:rsidRDefault="00DE7AB3" w:rsidP="0001417B"/>
    <w:sectPr w:rsidR="00DE7AB3" w:rsidRPr="0001417B" w:rsidSect="009059E9">
      <w:headerReference w:type="default" r:id="rId11"/>
      <w:footerReference w:type="default" r:id="rId12"/>
      <w:pgSz w:w="12242" w:h="15842" w:code="119"/>
      <w:pgMar w:top="1155" w:right="1327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276F4" w14:textId="77777777" w:rsidR="000902EC" w:rsidRDefault="000902EC" w:rsidP="003B5D97">
      <w:pPr>
        <w:spacing w:after="0" w:line="240" w:lineRule="auto"/>
      </w:pPr>
      <w:r>
        <w:separator/>
      </w:r>
    </w:p>
  </w:endnote>
  <w:endnote w:type="continuationSeparator" w:id="0">
    <w:p w14:paraId="42F0E7C8" w14:textId="77777777" w:rsidR="000902EC" w:rsidRDefault="000902EC" w:rsidP="003B5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FC8F6" w14:textId="77777777" w:rsidR="00C62E6D" w:rsidRDefault="0001239A" w:rsidP="009245B3">
    <w:pPr>
      <w:pStyle w:val="Piedepgina"/>
      <w:ind w:left="-1701"/>
    </w:pPr>
    <w:r>
      <w:rPr>
        <w:noProof/>
        <w:lang w:val="es-CO" w:eastAsia="es-CO"/>
      </w:rPr>
      <w:drawing>
        <wp:inline distT="0" distB="0" distL="0" distR="0" wp14:anchorId="7CCC1CEC" wp14:editId="3D7E7508">
          <wp:extent cx="7905096" cy="1100082"/>
          <wp:effectExtent l="0" t="0" r="1270" b="508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mbrete BN_MEMBRETE P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096" cy="11000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F6A8" w14:textId="77777777" w:rsidR="000902EC" w:rsidRDefault="000902EC" w:rsidP="003B5D97">
      <w:pPr>
        <w:spacing w:after="0" w:line="240" w:lineRule="auto"/>
      </w:pPr>
      <w:r>
        <w:separator/>
      </w:r>
    </w:p>
  </w:footnote>
  <w:footnote w:type="continuationSeparator" w:id="0">
    <w:p w14:paraId="611D72CF" w14:textId="77777777" w:rsidR="000902EC" w:rsidRDefault="000902EC" w:rsidP="003B5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405B" w14:textId="77777777" w:rsidR="00C62E6D" w:rsidRDefault="00585211" w:rsidP="00DF19FA">
    <w:pPr>
      <w:pStyle w:val="Encabezado"/>
      <w:ind w:left="-1701"/>
    </w:pPr>
    <w:r w:rsidRPr="005D76A5">
      <w:rPr>
        <w:noProof/>
        <w:lang w:val="es-CO" w:eastAsia="es-CO"/>
      </w:rPr>
      <w:drawing>
        <wp:inline distT="0" distB="0" distL="0" distR="0" wp14:anchorId="0FE88CE0" wp14:editId="6771335B">
          <wp:extent cx="7820024" cy="1269106"/>
          <wp:effectExtent l="0" t="0" r="0" b="7620"/>
          <wp:docPr id="7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6A76"/>
    <w:multiLevelType w:val="hybridMultilevel"/>
    <w:tmpl w:val="FA8A0B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B16838"/>
    <w:multiLevelType w:val="hybridMultilevel"/>
    <w:tmpl w:val="12D6EB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36C9E"/>
    <w:multiLevelType w:val="hybridMultilevel"/>
    <w:tmpl w:val="BBAA14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AB5697"/>
    <w:multiLevelType w:val="hybridMultilevel"/>
    <w:tmpl w:val="248A328E"/>
    <w:lvl w:ilvl="0" w:tplc="A7BA06E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69" w:hanging="360"/>
      </w:pPr>
    </w:lvl>
    <w:lvl w:ilvl="2" w:tplc="0C0A001B" w:tentative="1">
      <w:start w:val="1"/>
      <w:numFmt w:val="lowerRoman"/>
      <w:lvlText w:val="%3."/>
      <w:lvlJc w:val="right"/>
      <w:pPr>
        <w:ind w:left="1789" w:hanging="180"/>
      </w:pPr>
    </w:lvl>
    <w:lvl w:ilvl="3" w:tplc="0C0A000F" w:tentative="1">
      <w:start w:val="1"/>
      <w:numFmt w:val="decimal"/>
      <w:lvlText w:val="%4."/>
      <w:lvlJc w:val="left"/>
      <w:pPr>
        <w:ind w:left="2509" w:hanging="360"/>
      </w:pPr>
    </w:lvl>
    <w:lvl w:ilvl="4" w:tplc="0C0A0019" w:tentative="1">
      <w:start w:val="1"/>
      <w:numFmt w:val="lowerLetter"/>
      <w:lvlText w:val="%5."/>
      <w:lvlJc w:val="left"/>
      <w:pPr>
        <w:ind w:left="3229" w:hanging="360"/>
      </w:pPr>
    </w:lvl>
    <w:lvl w:ilvl="5" w:tplc="0C0A001B" w:tentative="1">
      <w:start w:val="1"/>
      <w:numFmt w:val="lowerRoman"/>
      <w:lvlText w:val="%6."/>
      <w:lvlJc w:val="right"/>
      <w:pPr>
        <w:ind w:left="3949" w:hanging="180"/>
      </w:pPr>
    </w:lvl>
    <w:lvl w:ilvl="6" w:tplc="0C0A000F" w:tentative="1">
      <w:start w:val="1"/>
      <w:numFmt w:val="decimal"/>
      <w:lvlText w:val="%7."/>
      <w:lvlJc w:val="left"/>
      <w:pPr>
        <w:ind w:left="4669" w:hanging="360"/>
      </w:pPr>
    </w:lvl>
    <w:lvl w:ilvl="7" w:tplc="0C0A0019" w:tentative="1">
      <w:start w:val="1"/>
      <w:numFmt w:val="lowerLetter"/>
      <w:lvlText w:val="%8."/>
      <w:lvlJc w:val="left"/>
      <w:pPr>
        <w:ind w:left="5389" w:hanging="360"/>
      </w:pPr>
    </w:lvl>
    <w:lvl w:ilvl="8" w:tplc="0C0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1D2A7988"/>
    <w:multiLevelType w:val="hybridMultilevel"/>
    <w:tmpl w:val="48A4197E"/>
    <w:lvl w:ilvl="0" w:tplc="0B260CA4">
      <w:numFmt w:val="bullet"/>
      <w:lvlText w:val="-"/>
      <w:lvlJc w:val="left"/>
      <w:pPr>
        <w:ind w:left="345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C0C49CE"/>
    <w:multiLevelType w:val="hybridMultilevel"/>
    <w:tmpl w:val="530EBE28"/>
    <w:lvl w:ilvl="0" w:tplc="2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492D7822"/>
    <w:multiLevelType w:val="hybridMultilevel"/>
    <w:tmpl w:val="A628C57E"/>
    <w:lvl w:ilvl="0" w:tplc="05529A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85842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CC60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E865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3AC9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189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28E8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FAE4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FCF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2589A"/>
    <w:multiLevelType w:val="hybridMultilevel"/>
    <w:tmpl w:val="A2286F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8605D"/>
    <w:multiLevelType w:val="multilevel"/>
    <w:tmpl w:val="57F0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6314704">
    <w:abstractNumId w:val="15"/>
  </w:num>
  <w:num w:numId="2" w16cid:durableId="532807739">
    <w:abstractNumId w:val="8"/>
  </w:num>
  <w:num w:numId="3" w16cid:durableId="175268713">
    <w:abstractNumId w:val="3"/>
  </w:num>
  <w:num w:numId="4" w16cid:durableId="372779333">
    <w:abstractNumId w:val="2"/>
  </w:num>
  <w:num w:numId="5" w16cid:durableId="1763601286">
    <w:abstractNumId w:val="1"/>
  </w:num>
  <w:num w:numId="6" w16cid:durableId="1579245908">
    <w:abstractNumId w:val="0"/>
  </w:num>
  <w:num w:numId="7" w16cid:durableId="314145100">
    <w:abstractNumId w:val="9"/>
  </w:num>
  <w:num w:numId="8" w16cid:durableId="1647584975">
    <w:abstractNumId w:val="7"/>
  </w:num>
  <w:num w:numId="9" w16cid:durableId="101338603">
    <w:abstractNumId w:val="6"/>
  </w:num>
  <w:num w:numId="10" w16cid:durableId="1416322344">
    <w:abstractNumId w:val="5"/>
  </w:num>
  <w:num w:numId="11" w16cid:durableId="1092823382">
    <w:abstractNumId w:val="4"/>
  </w:num>
  <w:num w:numId="12" w16cid:durableId="349454831">
    <w:abstractNumId w:val="14"/>
  </w:num>
  <w:num w:numId="13" w16cid:durableId="1488280935">
    <w:abstractNumId w:val="16"/>
  </w:num>
  <w:num w:numId="14" w16cid:durableId="1032220878">
    <w:abstractNumId w:val="13"/>
  </w:num>
  <w:num w:numId="15" w16cid:durableId="724642125">
    <w:abstractNumId w:val="19"/>
  </w:num>
  <w:num w:numId="16" w16cid:durableId="888372592">
    <w:abstractNumId w:val="10"/>
  </w:num>
  <w:num w:numId="17" w16cid:durableId="1866866266">
    <w:abstractNumId w:val="12"/>
  </w:num>
  <w:num w:numId="18" w16cid:durableId="856114032">
    <w:abstractNumId w:val="18"/>
  </w:num>
  <w:num w:numId="19" w16cid:durableId="923341050">
    <w:abstractNumId w:val="11"/>
  </w:num>
  <w:num w:numId="20" w16cid:durableId="844898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1239A"/>
    <w:rsid w:val="0001417B"/>
    <w:rsid w:val="0002514C"/>
    <w:rsid w:val="000338B4"/>
    <w:rsid w:val="00035403"/>
    <w:rsid w:val="00043B24"/>
    <w:rsid w:val="00043F14"/>
    <w:rsid w:val="00055731"/>
    <w:rsid w:val="0007239E"/>
    <w:rsid w:val="00087415"/>
    <w:rsid w:val="000902EC"/>
    <w:rsid w:val="00090E81"/>
    <w:rsid w:val="000C33FE"/>
    <w:rsid w:val="000D56CE"/>
    <w:rsid w:val="000D79BB"/>
    <w:rsid w:val="000E0125"/>
    <w:rsid w:val="000E7032"/>
    <w:rsid w:val="000F285A"/>
    <w:rsid w:val="000F368C"/>
    <w:rsid w:val="00124225"/>
    <w:rsid w:val="0012665E"/>
    <w:rsid w:val="00130900"/>
    <w:rsid w:val="00142CD2"/>
    <w:rsid w:val="00150D6E"/>
    <w:rsid w:val="00157BC8"/>
    <w:rsid w:val="00162535"/>
    <w:rsid w:val="00164D08"/>
    <w:rsid w:val="00171A27"/>
    <w:rsid w:val="001944CE"/>
    <w:rsid w:val="001D23B6"/>
    <w:rsid w:val="001D54A0"/>
    <w:rsid w:val="00200A0F"/>
    <w:rsid w:val="00205DF1"/>
    <w:rsid w:val="00214EC7"/>
    <w:rsid w:val="00235CC6"/>
    <w:rsid w:val="00262A7C"/>
    <w:rsid w:val="00270EF4"/>
    <w:rsid w:val="00272923"/>
    <w:rsid w:val="002820E6"/>
    <w:rsid w:val="00283FBF"/>
    <w:rsid w:val="002940F2"/>
    <w:rsid w:val="002953DB"/>
    <w:rsid w:val="002957D5"/>
    <w:rsid w:val="002A7599"/>
    <w:rsid w:val="002C1ACE"/>
    <w:rsid w:val="002E7D9F"/>
    <w:rsid w:val="002F4955"/>
    <w:rsid w:val="003039D6"/>
    <w:rsid w:val="00315A41"/>
    <w:rsid w:val="0032323C"/>
    <w:rsid w:val="00332199"/>
    <w:rsid w:val="00333B18"/>
    <w:rsid w:val="003369C1"/>
    <w:rsid w:val="00340845"/>
    <w:rsid w:val="0036484A"/>
    <w:rsid w:val="00386EF0"/>
    <w:rsid w:val="00397D94"/>
    <w:rsid w:val="003A1E4B"/>
    <w:rsid w:val="003B5D97"/>
    <w:rsid w:val="003B61AD"/>
    <w:rsid w:val="003B796E"/>
    <w:rsid w:val="003C22BA"/>
    <w:rsid w:val="003C4794"/>
    <w:rsid w:val="003D3066"/>
    <w:rsid w:val="004103BE"/>
    <w:rsid w:val="00424790"/>
    <w:rsid w:val="00444CBD"/>
    <w:rsid w:val="004551A0"/>
    <w:rsid w:val="004601C6"/>
    <w:rsid w:val="004631EB"/>
    <w:rsid w:val="00463E4B"/>
    <w:rsid w:val="0047131E"/>
    <w:rsid w:val="004947C6"/>
    <w:rsid w:val="004B6793"/>
    <w:rsid w:val="004D4C63"/>
    <w:rsid w:val="004D61BA"/>
    <w:rsid w:val="004F1E20"/>
    <w:rsid w:val="00515480"/>
    <w:rsid w:val="005172BB"/>
    <w:rsid w:val="00524478"/>
    <w:rsid w:val="00536DBD"/>
    <w:rsid w:val="005513D5"/>
    <w:rsid w:val="00563A94"/>
    <w:rsid w:val="00580286"/>
    <w:rsid w:val="00585211"/>
    <w:rsid w:val="00595166"/>
    <w:rsid w:val="005A6B55"/>
    <w:rsid w:val="005B0406"/>
    <w:rsid w:val="005C0B2D"/>
    <w:rsid w:val="005C4D0D"/>
    <w:rsid w:val="005C6BB9"/>
    <w:rsid w:val="005D76A5"/>
    <w:rsid w:val="005F64C6"/>
    <w:rsid w:val="00615EA5"/>
    <w:rsid w:val="00647B0B"/>
    <w:rsid w:val="0068295A"/>
    <w:rsid w:val="006839A0"/>
    <w:rsid w:val="00693B12"/>
    <w:rsid w:val="006A2C34"/>
    <w:rsid w:val="006A66A3"/>
    <w:rsid w:val="006B3A5B"/>
    <w:rsid w:val="006C5067"/>
    <w:rsid w:val="006C533C"/>
    <w:rsid w:val="006E3384"/>
    <w:rsid w:val="006F25AD"/>
    <w:rsid w:val="00703C57"/>
    <w:rsid w:val="0074317B"/>
    <w:rsid w:val="0075741E"/>
    <w:rsid w:val="0077168B"/>
    <w:rsid w:val="007A470C"/>
    <w:rsid w:val="007C460A"/>
    <w:rsid w:val="007C5144"/>
    <w:rsid w:val="007E5AAA"/>
    <w:rsid w:val="008015AE"/>
    <w:rsid w:val="00802779"/>
    <w:rsid w:val="00803B58"/>
    <w:rsid w:val="00814F81"/>
    <w:rsid w:val="00823B4E"/>
    <w:rsid w:val="008458DA"/>
    <w:rsid w:val="00851888"/>
    <w:rsid w:val="008628F4"/>
    <w:rsid w:val="00880270"/>
    <w:rsid w:val="008A3556"/>
    <w:rsid w:val="008B2132"/>
    <w:rsid w:val="008B227F"/>
    <w:rsid w:val="008B63FC"/>
    <w:rsid w:val="008E4D17"/>
    <w:rsid w:val="008F0588"/>
    <w:rsid w:val="00901A24"/>
    <w:rsid w:val="00901DD5"/>
    <w:rsid w:val="009059E9"/>
    <w:rsid w:val="009120F1"/>
    <w:rsid w:val="00923756"/>
    <w:rsid w:val="009245B3"/>
    <w:rsid w:val="009368BC"/>
    <w:rsid w:val="00941AB0"/>
    <w:rsid w:val="0094586B"/>
    <w:rsid w:val="0097195E"/>
    <w:rsid w:val="00973D90"/>
    <w:rsid w:val="009B2A5B"/>
    <w:rsid w:val="009B4433"/>
    <w:rsid w:val="009B65BB"/>
    <w:rsid w:val="009C18B0"/>
    <w:rsid w:val="009F1FC1"/>
    <w:rsid w:val="009F3B7D"/>
    <w:rsid w:val="009F53ED"/>
    <w:rsid w:val="00A05007"/>
    <w:rsid w:val="00A0534B"/>
    <w:rsid w:val="00A12939"/>
    <w:rsid w:val="00A41C2F"/>
    <w:rsid w:val="00A43C4E"/>
    <w:rsid w:val="00A57B08"/>
    <w:rsid w:val="00A70AB8"/>
    <w:rsid w:val="00A74CB9"/>
    <w:rsid w:val="00A81B69"/>
    <w:rsid w:val="00A863C2"/>
    <w:rsid w:val="00AA0201"/>
    <w:rsid w:val="00AA55A0"/>
    <w:rsid w:val="00AC74AA"/>
    <w:rsid w:val="00AE7FE2"/>
    <w:rsid w:val="00AF7B0A"/>
    <w:rsid w:val="00B00FE9"/>
    <w:rsid w:val="00B179D0"/>
    <w:rsid w:val="00B30536"/>
    <w:rsid w:val="00B3096B"/>
    <w:rsid w:val="00B36880"/>
    <w:rsid w:val="00B43D9A"/>
    <w:rsid w:val="00B55F09"/>
    <w:rsid w:val="00B771C8"/>
    <w:rsid w:val="00B86A34"/>
    <w:rsid w:val="00B91306"/>
    <w:rsid w:val="00BA6509"/>
    <w:rsid w:val="00BD496E"/>
    <w:rsid w:val="00BF1DB4"/>
    <w:rsid w:val="00C074B2"/>
    <w:rsid w:val="00C25782"/>
    <w:rsid w:val="00C30392"/>
    <w:rsid w:val="00C31C90"/>
    <w:rsid w:val="00C32ABB"/>
    <w:rsid w:val="00C4069A"/>
    <w:rsid w:val="00C4771D"/>
    <w:rsid w:val="00C47726"/>
    <w:rsid w:val="00C554B1"/>
    <w:rsid w:val="00C62E6D"/>
    <w:rsid w:val="00CB44AA"/>
    <w:rsid w:val="00CD2EDE"/>
    <w:rsid w:val="00CE5AB3"/>
    <w:rsid w:val="00D110A6"/>
    <w:rsid w:val="00D12419"/>
    <w:rsid w:val="00D30ED1"/>
    <w:rsid w:val="00D40D41"/>
    <w:rsid w:val="00D41387"/>
    <w:rsid w:val="00D566A5"/>
    <w:rsid w:val="00D60501"/>
    <w:rsid w:val="00D669BC"/>
    <w:rsid w:val="00D93685"/>
    <w:rsid w:val="00DA4D1E"/>
    <w:rsid w:val="00DC2C8A"/>
    <w:rsid w:val="00DC73AD"/>
    <w:rsid w:val="00DD0261"/>
    <w:rsid w:val="00DE6CD0"/>
    <w:rsid w:val="00DE7AB3"/>
    <w:rsid w:val="00DF19FA"/>
    <w:rsid w:val="00E0304F"/>
    <w:rsid w:val="00E13BCE"/>
    <w:rsid w:val="00E164D4"/>
    <w:rsid w:val="00E4462C"/>
    <w:rsid w:val="00E46CA8"/>
    <w:rsid w:val="00E528CD"/>
    <w:rsid w:val="00E7096F"/>
    <w:rsid w:val="00E825B8"/>
    <w:rsid w:val="00E87362"/>
    <w:rsid w:val="00EA392F"/>
    <w:rsid w:val="00EB225E"/>
    <w:rsid w:val="00EC50AE"/>
    <w:rsid w:val="00EC72CE"/>
    <w:rsid w:val="00EF4666"/>
    <w:rsid w:val="00EF4C16"/>
    <w:rsid w:val="00F15E58"/>
    <w:rsid w:val="00F2298A"/>
    <w:rsid w:val="00F242F8"/>
    <w:rsid w:val="00F32CEA"/>
    <w:rsid w:val="00F36FFE"/>
    <w:rsid w:val="00F43942"/>
    <w:rsid w:val="00F46A9C"/>
    <w:rsid w:val="00F85FB7"/>
    <w:rsid w:val="00F86F07"/>
    <w:rsid w:val="00F93024"/>
    <w:rsid w:val="00F935FF"/>
    <w:rsid w:val="00FD6D96"/>
    <w:rsid w:val="00FE3EEF"/>
    <w:rsid w:val="00FE5261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57A2D0"/>
  <w15:docId w15:val="{430B6F17-B269-489F-96B0-B7284449E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9D6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5D97"/>
  </w:style>
  <w:style w:type="paragraph" w:styleId="Piedepgina">
    <w:name w:val="footer"/>
    <w:basedOn w:val="Normal"/>
    <w:link w:val="PiedepginaC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D97"/>
  </w:style>
  <w:style w:type="paragraph" w:styleId="NormalWeb">
    <w:name w:val="Normal (Web)"/>
    <w:basedOn w:val="Normal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F46A9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46A9C"/>
    <w:rPr>
      <w:rFonts w:ascii="Arial MT" w:eastAsia="Arial MT" w:hAnsi="Arial MT" w:cs="Arial MT"/>
      <w:sz w:val="24"/>
      <w:szCs w:val="24"/>
      <w:lang w:val="es-ES" w:eastAsia="en-US"/>
    </w:rPr>
  </w:style>
  <w:style w:type="table" w:styleId="Tablaconcuadrcula">
    <w:name w:val="Table Grid"/>
    <w:basedOn w:val="Tablanormal"/>
    <w:rsid w:val="00F4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F46A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46A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46A9C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46A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46A9C"/>
    <w:rPr>
      <w:b/>
      <w:bCs/>
      <w:lang w:val="es-ES" w:eastAsia="en-US"/>
    </w:rPr>
  </w:style>
  <w:style w:type="paragraph" w:styleId="Prrafodelista">
    <w:name w:val="List Paragraph"/>
    <w:basedOn w:val="Normal"/>
    <w:uiPriority w:val="34"/>
    <w:qFormat/>
    <w:rsid w:val="005172BB"/>
    <w:pPr>
      <w:spacing w:after="160" w:line="259" w:lineRule="auto"/>
      <w:ind w:left="720"/>
      <w:contextualSpacing/>
    </w:pPr>
    <w:rPr>
      <w:rFonts w:cs="Calibri"/>
      <w:color w:val="000000"/>
      <w:lang w:eastAsia="es-ES" w:bidi="es-ES"/>
    </w:rPr>
  </w:style>
  <w:style w:type="paragraph" w:customStyle="1" w:styleId="paragraph">
    <w:name w:val="paragraph"/>
    <w:basedOn w:val="Normal"/>
    <w:rsid w:val="000C33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0C33FE"/>
  </w:style>
  <w:style w:type="character" w:customStyle="1" w:styleId="eop">
    <w:name w:val="eop"/>
    <w:basedOn w:val="Fuentedeprrafopredeter"/>
    <w:rsid w:val="000C3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817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030</vt:lpstr>
    </vt:vector>
  </TitlesOfParts>
  <Company>YATARO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Johanna Alexandra Valderrama Casas</cp:lastModifiedBy>
  <cp:revision>2</cp:revision>
  <cp:lastPrinted>2012-08-30T20:32:00Z</cp:lastPrinted>
  <dcterms:created xsi:type="dcterms:W3CDTF">2025-10-13T20:29:00Z</dcterms:created>
  <dcterms:modified xsi:type="dcterms:W3CDTF">2025-10-13T20:29:00Z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